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02" w:rsidRDefault="005E2666">
      <w:pPr>
        <w:spacing w:line="480" w:lineRule="exact"/>
        <w:jc w:val="center"/>
        <w:rPr>
          <w:rFonts w:ascii="黑体" w:eastAsia="黑体" w:hAnsi="黑体" w:cs="仿宋"/>
          <w:sz w:val="32"/>
          <w:szCs w:val="32"/>
          <w:lang w:eastAsia="zh-CN"/>
        </w:rPr>
      </w:pPr>
      <w:r>
        <w:rPr>
          <w:rFonts w:ascii="黑体" w:eastAsia="黑体" w:hAnsi="黑体" w:cs="仿宋" w:hint="eastAsia"/>
          <w:sz w:val="32"/>
          <w:szCs w:val="32"/>
          <w:lang w:val="zh-TW" w:eastAsia="zh-CN"/>
        </w:rPr>
        <w:t>附件1：</w:t>
      </w:r>
      <w:r>
        <w:rPr>
          <w:rFonts w:ascii="黑体" w:eastAsia="黑体" w:hAnsi="黑体" w:cs="仿宋"/>
          <w:sz w:val="32"/>
          <w:szCs w:val="32"/>
          <w:lang w:val="zh-TW" w:eastAsia="zh-TW"/>
        </w:rPr>
        <w:t>上海论坛</w:t>
      </w:r>
      <w:r>
        <w:rPr>
          <w:rFonts w:ascii="黑体" w:eastAsia="黑体" w:hAnsi="黑体" w:cs="仿宋"/>
          <w:sz w:val="32"/>
          <w:szCs w:val="32"/>
          <w:lang w:eastAsia="zh-CN"/>
        </w:rPr>
        <w:t>202</w:t>
      </w:r>
      <w:r>
        <w:rPr>
          <w:rFonts w:ascii="黑体" w:eastAsia="黑体" w:hAnsi="黑体" w:cs="仿宋" w:hint="eastAsia"/>
          <w:sz w:val="32"/>
          <w:szCs w:val="32"/>
          <w:lang w:eastAsia="zh-CN"/>
        </w:rPr>
        <w:t>3圆桌</w:t>
      </w:r>
      <w:r>
        <w:rPr>
          <w:rFonts w:ascii="黑体" w:eastAsia="黑体" w:hAnsi="黑体" w:cs="仿宋"/>
          <w:sz w:val="32"/>
          <w:szCs w:val="32"/>
          <w:lang w:val="zh-TW" w:eastAsia="zh-TW"/>
        </w:rPr>
        <w:t>承办申请表</w:t>
      </w:r>
    </w:p>
    <w:p w:rsidR="00922A02" w:rsidRDefault="00922A02">
      <w:pPr>
        <w:spacing w:line="480" w:lineRule="exact"/>
        <w:ind w:firstLine="640"/>
        <w:jc w:val="center"/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Style w:val="TableNormal"/>
        <w:tblW w:w="8300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2409"/>
        <w:gridCol w:w="1419"/>
        <w:gridCol w:w="2776"/>
      </w:tblGrid>
      <w:tr w:rsidR="00922A02">
        <w:trPr>
          <w:trHeight w:val="453"/>
          <w:jc w:val="center"/>
        </w:trPr>
        <w:tc>
          <w:tcPr>
            <w:tcW w:w="830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zh-TW" w:eastAsia="zh-CN"/>
              </w:rPr>
              <w:t>主席</w:t>
            </w:r>
            <w:r>
              <w:rPr>
                <w:rFonts w:ascii="仿宋" w:eastAsia="仿宋" w:hAnsi="仿宋" w:cs="仿宋"/>
                <w:b/>
                <w:sz w:val="24"/>
                <w:szCs w:val="24"/>
                <w:lang w:val="zh-TW" w:eastAsia="zh-CN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zh-TW" w:eastAsia="zh-CN"/>
              </w:rPr>
              <w:t>联合主席信息</w:t>
            </w:r>
            <w:r>
              <w:rPr>
                <w:rFonts w:ascii="仿宋" w:eastAsia="仿宋" w:hAnsi="仿宋" w:cs="仿宋" w:hint="eastAsia"/>
                <w:i/>
                <w:sz w:val="22"/>
                <w:szCs w:val="24"/>
                <w:lang w:val="zh-TW" w:eastAsia="zh-CN"/>
              </w:rPr>
              <w:t>（主席需为圆桌会议召集人）</w:t>
            </w:r>
          </w:p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  <w:rPr>
                <w:rFonts w:eastAsia="PMingLiU"/>
              </w:rPr>
            </w:pPr>
          </w:p>
        </w:tc>
        <w:tc>
          <w:tcPr>
            <w:tcW w:w="27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照片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br/>
            </w:r>
          </w:p>
          <w:p w:rsidR="00922A02" w:rsidRDefault="005E2666">
            <w:pPr>
              <w:jc w:val="center"/>
              <w:rPr>
                <w:i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i/>
                <w:sz w:val="22"/>
                <w:szCs w:val="22"/>
                <w:lang w:eastAsia="zh-CN"/>
              </w:rPr>
              <w:t>像素良好，大于</w:t>
            </w:r>
            <w:r>
              <w:rPr>
                <w:rFonts w:ascii="仿宋" w:eastAsia="仿宋" w:hAnsi="仿宋" w:cs="仿宋"/>
                <w:i/>
                <w:sz w:val="22"/>
                <w:szCs w:val="22"/>
                <w:lang w:eastAsia="zh-CN"/>
              </w:rPr>
              <w:t>1M</w:t>
            </w:r>
            <w:r>
              <w:rPr>
                <w:rFonts w:asciiTheme="minorEastAsia" w:eastAsiaTheme="minorEastAsia" w:hAnsiTheme="minorEastAsia" w:hint="eastAsia"/>
                <w:i/>
                <w:sz w:val="22"/>
                <w:szCs w:val="22"/>
                <w:lang w:eastAsia="zh-CN"/>
              </w:rPr>
              <w:t>）</w:t>
            </w:r>
          </w:p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27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国家/地区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27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Email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737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工作单位与职务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中文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22A02" w:rsidRDefault="005E2666">
            <w:pP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 xml:space="preserve">                              </w:t>
            </w:r>
          </w:p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737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英文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922A02" w:rsidRDefault="00922A02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2324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主席/联合主席简介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中文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922A02" w:rsidRDefault="005E2666">
            <w:pPr>
              <w:rPr>
                <w:i/>
              </w:rPr>
            </w:pP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约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250</w:t>
            </w: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字</w:t>
            </w:r>
          </w:p>
        </w:tc>
      </w:tr>
      <w:tr w:rsidR="00922A02">
        <w:trPr>
          <w:trHeight w:val="2324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922A02" w:rsidRDefault="005E2666">
            <w:pPr>
              <w:rPr>
                <w:rFonts w:ascii="仿宋" w:eastAsia="仿宋" w:hAnsi="仿宋" w:cs="仿宋"/>
                <w:i/>
                <w:sz w:val="22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约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150词</w:t>
            </w:r>
          </w:p>
        </w:tc>
      </w:tr>
      <w:tr w:rsidR="00922A02">
        <w:trPr>
          <w:trHeight w:val="2324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申请单位简介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922A02" w:rsidRDefault="005E2666">
            <w:pPr>
              <w:rPr>
                <w:rFonts w:ascii="仿宋" w:eastAsia="仿宋" w:hAnsi="仿宋" w:cs="仿宋"/>
                <w:i/>
                <w:sz w:val="22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约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200</w:t>
            </w: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字</w:t>
            </w:r>
          </w:p>
        </w:tc>
      </w:tr>
      <w:tr w:rsidR="00922A02">
        <w:trPr>
          <w:trHeight w:val="1014"/>
          <w:jc w:val="center"/>
        </w:trPr>
        <w:tc>
          <w:tcPr>
            <w:tcW w:w="830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afterLines="50" w:after="120"/>
              <w:rPr>
                <w:rFonts w:ascii="仿宋" w:eastAsia="仿宋" w:hAnsi="仿宋" w:cs="仿宋"/>
                <w:b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zh-TW" w:eastAsia="zh-CN"/>
              </w:rPr>
              <w:lastRenderedPageBreak/>
              <w:t>联络人信息</w:t>
            </w:r>
          </w:p>
          <w:p w:rsidR="00922A02" w:rsidRDefault="005E2666">
            <w:pPr>
              <w:rPr>
                <w:i/>
                <w:lang w:eastAsia="zh-CN"/>
              </w:rPr>
            </w:pPr>
            <w:r>
              <w:rPr>
                <w:rFonts w:ascii="仿宋" w:eastAsia="仿宋" w:hAnsi="仿宋" w:cs="仿宋" w:hint="eastAsia"/>
                <w:i/>
                <w:sz w:val="22"/>
                <w:szCs w:val="24"/>
                <w:lang w:val="zh-TW" w:eastAsia="zh-CN"/>
              </w:rPr>
              <w:t>（联络人主要负责与组委会及嘉宾等进行沟通协调，并推进会务。须常驻上海。）</w:t>
            </w:r>
          </w:p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1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</w:pPr>
          </w:p>
        </w:tc>
      </w:tr>
      <w:tr w:rsidR="00922A02">
        <w:trPr>
          <w:trHeight w:val="340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Email</w:t>
            </w:r>
          </w:p>
        </w:tc>
        <w:tc>
          <w:tcPr>
            <w:tcW w:w="70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adjustRightInd w:val="0"/>
              <w:snapToGrid w:val="0"/>
            </w:pPr>
          </w:p>
        </w:tc>
      </w:tr>
      <w:tr w:rsidR="00922A02">
        <w:trPr>
          <w:trHeight w:val="453"/>
          <w:jc w:val="center"/>
        </w:trPr>
        <w:tc>
          <w:tcPr>
            <w:tcW w:w="830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zh-TW" w:eastAsia="zh-TW"/>
              </w:rPr>
              <w:t>圆桌信息</w:t>
            </w:r>
          </w:p>
        </w:tc>
      </w:tr>
      <w:tr w:rsidR="00922A02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拟合作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机构</w:t>
            </w:r>
          </w:p>
          <w:p w:rsidR="00922A02" w:rsidRDefault="005E2666">
            <w:pPr>
              <w:spacing w:line="480" w:lineRule="exact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Cs w:val="24"/>
                <w:lang w:val="zh-TW" w:eastAsia="zh-CN"/>
              </w:rPr>
              <w:t>（选填）</w:t>
            </w:r>
          </w:p>
        </w:tc>
        <w:tc>
          <w:tcPr>
            <w:tcW w:w="70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pStyle w:val="ac"/>
              <w:numPr>
                <w:ilvl w:val="0"/>
                <w:numId w:val="1"/>
              </w:numPr>
              <w:ind w:firstLineChars="0"/>
              <w:rPr>
                <w:rFonts w:eastAsiaTheme="minorEastAsia"/>
                <w:lang w:eastAsia="zh-CN"/>
              </w:rPr>
            </w:pPr>
          </w:p>
        </w:tc>
      </w:tr>
      <w:tr w:rsidR="00922A02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70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pStyle w:val="ac"/>
              <w:numPr>
                <w:ilvl w:val="0"/>
                <w:numId w:val="1"/>
              </w:numPr>
              <w:ind w:firstLineChars="0"/>
              <w:rPr>
                <w:rFonts w:eastAsiaTheme="minorEastAsia"/>
                <w:lang w:eastAsia="zh-CN"/>
              </w:rPr>
            </w:pPr>
          </w:p>
        </w:tc>
      </w:tr>
      <w:tr w:rsidR="00922A02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70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rPr>
                <w:rFonts w:eastAsiaTheme="minorEastAsia"/>
                <w:lang w:eastAsia="zh-CN"/>
              </w:rPr>
            </w:pPr>
          </w:p>
        </w:tc>
      </w:tr>
      <w:tr w:rsidR="00922A02">
        <w:trPr>
          <w:trHeight w:val="454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报方向</w:t>
            </w:r>
            <w:proofErr w:type="gramEnd"/>
          </w:p>
        </w:tc>
        <w:tc>
          <w:tcPr>
            <w:tcW w:w="70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BA2" w:rsidRDefault="0001683F">
            <w:pPr>
              <w:spacing w:line="480" w:lineRule="exact"/>
              <w:jc w:val="center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□共享的</w:t>
            </w:r>
            <w:r w:rsidR="005E2666"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创新</w:t>
            </w:r>
            <w:r w:rsidR="005E2666"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□互利的经济</w:t>
            </w:r>
            <w:r w:rsidR="005E2666"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□包容性的</w:t>
            </w:r>
            <w:r w:rsidR="005E2666"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 xml:space="preserve">治理  </w:t>
            </w:r>
          </w:p>
          <w:p w:rsidR="00C17BA2" w:rsidRDefault="00C17BA2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□有保障的安全</w:t>
            </w:r>
            <w:r>
              <w:rPr>
                <w:rFonts w:ascii="仿宋" w:eastAsiaTheme="minorEastAsia" w:hAnsi="仿宋" w:cs="仿宋" w:hint="eastAsia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互鉴的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文明</w:t>
            </w:r>
          </w:p>
          <w:p w:rsidR="00922A02" w:rsidRPr="00C17BA2" w:rsidRDefault="005E2666">
            <w:pPr>
              <w:spacing w:line="480" w:lineRule="exact"/>
              <w:jc w:val="center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□特别议题：</w:t>
            </w:r>
            <w:r w:rsidR="00C17BA2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当代青年与人类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发展动力</w:t>
            </w:r>
          </w:p>
        </w:tc>
      </w:tr>
      <w:tr w:rsidR="00922A02">
        <w:trPr>
          <w:trHeight w:val="480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圆桌主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题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中文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i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480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英文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i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480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关键词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ab/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中文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i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480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英文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922A02" w:rsidRDefault="00922A02">
            <w:pPr>
              <w:spacing w:line="480" w:lineRule="exact"/>
              <w:rPr>
                <w:rFonts w:ascii="仿宋" w:eastAsia="仿宋" w:hAnsi="仿宋" w:cs="仿宋"/>
                <w:i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2268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主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题阐释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中文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922A02" w:rsidRDefault="005E2666">
            <w:pP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简述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该</w:t>
            </w: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主题的前沿研究状况、讨论价值、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社会影响</w:t>
            </w:r>
            <w:r>
              <w:rPr>
                <w:rFonts w:ascii="仿宋" w:eastAsia="仿宋" w:hAnsi="仿宋" w:cs="仿宋" w:hint="eastAsia"/>
                <w:i/>
                <w:color w:val="A6A6A6" w:themeColor="background1" w:themeShade="A6"/>
                <w:sz w:val="22"/>
                <w:szCs w:val="24"/>
                <w:lang w:eastAsia="zh-CN"/>
              </w:rPr>
              <w:t>及圆桌将聚焦的问题和讨论重点</w:t>
            </w:r>
            <w:r>
              <w:rPr>
                <w:rFonts w:ascii="仿宋" w:eastAsia="仿宋" w:hAnsi="仿宋" w:cs="仿宋"/>
                <w:i/>
                <w:color w:val="A6A6A6" w:themeColor="background1" w:themeShade="A6"/>
                <w:sz w:val="22"/>
                <w:szCs w:val="24"/>
                <w:lang w:eastAsia="zh-CN"/>
              </w:rPr>
              <w:t>（500字左右）</w:t>
            </w: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2"/>
                <w:szCs w:val="24"/>
                <w:lang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  <w:p w:rsidR="00922A02" w:rsidRDefault="00922A02">
            <w:pPr>
              <w:spacing w:line="480" w:lineRule="exact"/>
              <w:rPr>
                <w:rFonts w:ascii="仿宋" w:eastAsia="仿宋" w:hAnsi="仿宋" w:cs="仿宋"/>
                <w:i/>
                <w:sz w:val="24"/>
                <w:szCs w:val="24"/>
                <w:lang w:val="zh-TW" w:eastAsia="zh-CN"/>
              </w:rPr>
            </w:pPr>
          </w:p>
        </w:tc>
      </w:tr>
      <w:tr w:rsidR="00922A02">
        <w:trPr>
          <w:trHeight w:val="2268"/>
          <w:jc w:val="center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英文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922A02" w:rsidRDefault="005E2666">
            <w:pPr>
              <w:adjustRightInd w:val="0"/>
              <w:snapToGrid w:val="0"/>
              <w:rPr>
                <w:rFonts w:ascii="Times New Roman" w:eastAsia="PMingLiU" w:hAnsi="Times New Roman" w:cs="Times New Roman"/>
                <w:i/>
                <w:color w:val="A6A6A6" w:themeColor="background1" w:themeShade="A6"/>
                <w:sz w:val="22"/>
                <w:szCs w:val="24"/>
                <w:lang w:val="zh-TW" w:eastAsia="zh-TW"/>
              </w:rPr>
            </w:pPr>
            <w:r>
              <w:rPr>
                <w:rFonts w:ascii="Times New Roman" w:eastAsia="仿宋" w:hAnsi="Times New Roman" w:cs="Times New Roman"/>
                <w:i/>
                <w:color w:val="A6A6A6" w:themeColor="background1" w:themeShade="A6"/>
                <w:sz w:val="22"/>
                <w:szCs w:val="24"/>
                <w:lang w:val="zh-TW" w:eastAsia="zh-CN"/>
              </w:rPr>
              <w:t>Please briefly introduce the research background, significanc</w:t>
            </w:r>
            <w:r w:rsidR="00ED2158">
              <w:rPr>
                <w:rFonts w:ascii="Times New Roman" w:eastAsia="仿宋" w:hAnsi="Times New Roman" w:cs="Times New Roman"/>
                <w:i/>
                <w:color w:val="A6A6A6" w:themeColor="background1" w:themeShade="A6"/>
                <w:sz w:val="22"/>
                <w:szCs w:val="24"/>
                <w:lang w:val="zh-TW" w:eastAsia="zh-CN"/>
              </w:rPr>
              <w:t>e and social impact of the topi</w:t>
            </w:r>
            <w:r w:rsidR="00ED2158">
              <w:rPr>
                <w:rFonts w:ascii="Times New Roman" w:eastAsia="PMingLiU" w:hAnsi="Times New Roman" w:cs="Times New Roman"/>
                <w:i/>
                <w:color w:val="A6A6A6" w:themeColor="background1" w:themeShade="A6"/>
                <w:sz w:val="22"/>
                <w:szCs w:val="24"/>
                <w:lang w:val="zh-TW" w:eastAsia="zh-TW"/>
              </w:rPr>
              <w:t>c, and key points of the discussion</w:t>
            </w:r>
            <w:r>
              <w:rPr>
                <w:rFonts w:ascii="Times New Roman" w:eastAsia="仿宋" w:hAnsi="Times New Roman" w:cs="Times New Roman"/>
                <w:i/>
                <w:color w:val="A6A6A6" w:themeColor="background1" w:themeShade="A6"/>
                <w:sz w:val="22"/>
                <w:szCs w:val="24"/>
                <w:lang w:val="zh-TW" w:eastAsia="zh-CN"/>
              </w:rPr>
              <w:t>. (350 words)</w:t>
            </w: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i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4"/>
                <w:lang w:val="zh-TW" w:eastAsia="zh-TW"/>
              </w:rPr>
            </w:pPr>
          </w:p>
          <w:p w:rsidR="00922A02" w:rsidRDefault="00922A02">
            <w:pPr>
              <w:adjustRightInd w:val="0"/>
              <w:snapToGrid w:val="0"/>
              <w:rPr>
                <w:rFonts w:ascii="Times New Roman" w:eastAsia="PMingLiU" w:hAnsi="Times New Roman" w:cs="Times New Roman"/>
                <w:i/>
                <w:sz w:val="22"/>
                <w:szCs w:val="24"/>
                <w:lang w:val="zh-TW" w:eastAsia="zh-TW"/>
              </w:rPr>
            </w:pPr>
          </w:p>
        </w:tc>
      </w:tr>
    </w:tbl>
    <w:p w:rsidR="00922A02" w:rsidRDefault="00922A02">
      <w:pPr>
        <w:widowControl/>
        <w:jc w:val="left"/>
        <w:rPr>
          <w:lang w:eastAsia="zh-CN"/>
        </w:rPr>
        <w:sectPr w:rsidR="00922A02">
          <w:pgSz w:w="11900" w:h="16840"/>
          <w:pgMar w:top="1440" w:right="1800" w:bottom="1440" w:left="1800" w:header="851" w:footer="992" w:gutter="0"/>
          <w:cols w:space="720"/>
        </w:sectPr>
      </w:pPr>
    </w:p>
    <w:tbl>
      <w:tblPr>
        <w:tblStyle w:val="TableNormal"/>
        <w:tblW w:w="13887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551"/>
        <w:gridCol w:w="4536"/>
        <w:gridCol w:w="5387"/>
      </w:tblGrid>
      <w:tr w:rsidR="00922A02">
        <w:trPr>
          <w:trHeight w:val="428"/>
          <w:jc w:val="center"/>
        </w:trPr>
        <w:tc>
          <w:tcPr>
            <w:tcW w:w="13887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  <w:rPr>
                <w:rFonts w:ascii="仿宋" w:eastAsia="PMingLiU" w:hAnsi="仿宋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zh-TW" w:eastAsia="zh-CN"/>
              </w:rPr>
              <w:lastRenderedPageBreak/>
              <w:t>演讲</w:t>
            </w:r>
            <w:r>
              <w:rPr>
                <w:rFonts w:ascii="仿宋" w:eastAsia="仿宋" w:hAnsi="仿宋" w:cs="仿宋"/>
                <w:b/>
                <w:sz w:val="24"/>
                <w:szCs w:val="24"/>
                <w:lang w:val="zh-TW" w:eastAsia="zh-TW"/>
              </w:rPr>
              <w:t>嘉宾拟邀请名单</w:t>
            </w:r>
          </w:p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说明：</w:t>
            </w:r>
          </w:p>
          <w:p w:rsidR="00922A02" w:rsidRDefault="005E2666">
            <w:pPr>
              <w:spacing w:line="480" w:lineRule="exact"/>
              <w:rPr>
                <w:rFonts w:ascii="仿宋" w:eastAsia="PMingLiU" w:hAnsi="仿宋" w:cs="仿宋"/>
                <w:sz w:val="24"/>
                <w:szCs w:val="24"/>
                <w:u w:val="single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CN"/>
              </w:rPr>
              <w:t>1、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TW"/>
              </w:rPr>
              <w:t>该名单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  <w:lang w:val="zh-TW" w:eastAsia="zh-TW"/>
              </w:rPr>
              <w:t>仅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CN"/>
              </w:rPr>
              <w:t>在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  <w:lang w:val="zh-TW" w:eastAsia="zh-TW"/>
              </w:rPr>
              <w:t>申请时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CN"/>
              </w:rPr>
              <w:t>作为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TW"/>
              </w:rPr>
              <w:t>参考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CN"/>
              </w:rPr>
              <w:t>依据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  <w:lang w:val="zh-TW" w:eastAsia="zh-TW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TW" w:eastAsia="zh-CN"/>
              </w:rPr>
              <w:t>请在申请通过后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  <w:lang w:val="zh-TW" w:eastAsia="zh-CN"/>
              </w:rPr>
              <w:t>再与嘉宾作实质性沟通，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  <w:lang w:val="zh-TW" w:eastAsia="zh-TW"/>
              </w:rPr>
              <w:t>入选后组委会将统一对嘉宾进行邀请。</w:t>
            </w:r>
          </w:p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2、名单中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的嘉宾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须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为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主席/联合主席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有渠道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可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邀请到的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请按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优先性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高低排列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。</w:t>
            </w:r>
          </w:p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3、每场圆桌可设1名主席或2名联合主席，请在备注中注明。</w:t>
            </w:r>
          </w:p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</w:pP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、演讲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嘉宾人数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不超过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1</w:t>
            </w: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位（含主席/联合主席），国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内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（含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港澳台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嘉宾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不超过</w:t>
            </w: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位，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嘉宾所属机构需满足多样性，所属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国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别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需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多元化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。</w:t>
            </w:r>
          </w:p>
          <w:p w:rsidR="00922A02" w:rsidRDefault="005E2666">
            <w:pPr>
              <w:spacing w:line="48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如有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特殊情况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需要微调嘉宾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比例，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入选后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可向组委会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进行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申请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。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组委会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也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将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根据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具体情况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对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圆桌设计和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嘉宾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名单进行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建议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调整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。</w:t>
            </w:r>
          </w:p>
          <w:p w:rsidR="00922A02" w:rsidRDefault="005E2666">
            <w:pPr>
              <w:spacing w:line="48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备选嘉宾仅在正式嘉宾无法参会时进行补充邀请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。</w:t>
            </w:r>
          </w:p>
        </w:tc>
      </w:tr>
      <w:tr w:rsidR="00922A02">
        <w:trPr>
          <w:trHeight w:val="428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  <w:rPr>
                <w:rFonts w:eastAsia="PMingLiU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工作单位与职务</w:t>
            </w: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02" w:rsidRDefault="005E2666">
            <w:pPr>
              <w:spacing w:line="480" w:lineRule="exact"/>
              <w:rPr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简介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/备注</w:t>
            </w:r>
          </w:p>
        </w:tc>
      </w:tr>
      <w:tr w:rsidR="00922A02">
        <w:trPr>
          <w:trHeight w:val="388"/>
          <w:jc w:val="center"/>
        </w:trPr>
        <w:tc>
          <w:tcPr>
            <w:tcW w:w="70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国外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312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378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539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/>
        </w:tc>
      </w:tr>
      <w:tr w:rsidR="00922A02">
        <w:trPr>
          <w:trHeight w:val="539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44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选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93"/>
          <w:jc w:val="center"/>
        </w:trPr>
        <w:tc>
          <w:tcPr>
            <w:tcW w:w="70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国内（含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CN"/>
              </w:rPr>
              <w:t>港澳台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CN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02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  <w:tr w:rsidR="00922A02">
        <w:trPr>
          <w:trHeight w:val="531"/>
          <w:jc w:val="center"/>
        </w:trPr>
        <w:tc>
          <w:tcPr>
            <w:tcW w:w="704" w:type="dxa"/>
            <w:vMerge/>
            <w:shd w:val="clear" w:color="auto" w:fill="auto"/>
          </w:tcPr>
          <w:p w:rsidR="00922A02" w:rsidRDefault="00922A02"/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5E266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备选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A02" w:rsidRDefault="00922A02">
            <w:pPr>
              <w:jc w:val="center"/>
            </w:pPr>
          </w:p>
        </w:tc>
      </w:tr>
    </w:tbl>
    <w:p w:rsidR="00922A02" w:rsidRDefault="00922A02">
      <w:pPr>
        <w:spacing w:line="480" w:lineRule="exact"/>
        <w:jc w:val="left"/>
        <w:rPr>
          <w:rFonts w:asciiTheme="minorEastAsia" w:eastAsiaTheme="minorEastAsia" w:hAnsiTheme="minorEastAsia"/>
          <w:sz w:val="22"/>
          <w:szCs w:val="22"/>
          <w:lang w:val="zh-TW" w:eastAsia="zh-CN"/>
        </w:rPr>
      </w:pPr>
    </w:p>
    <w:p w:rsidR="00922A02" w:rsidRDefault="00922A02">
      <w:pPr>
        <w:spacing w:line="480" w:lineRule="exact"/>
        <w:ind w:right="1280"/>
        <w:jc w:val="right"/>
        <w:rPr>
          <w:rFonts w:ascii="仿宋" w:eastAsia="仿宋" w:hAnsi="仿宋" w:cs="仿宋"/>
          <w:sz w:val="24"/>
          <w:szCs w:val="24"/>
          <w:lang w:eastAsia="zh-CN"/>
        </w:rPr>
      </w:pPr>
    </w:p>
    <w:p w:rsidR="00922A02" w:rsidRDefault="00922A02">
      <w:pPr>
        <w:spacing w:line="480" w:lineRule="exact"/>
        <w:ind w:right="1280"/>
        <w:jc w:val="right"/>
        <w:rPr>
          <w:rFonts w:ascii="仿宋" w:eastAsia="仿宋" w:hAnsi="仿宋" w:cs="仿宋"/>
          <w:sz w:val="24"/>
          <w:szCs w:val="24"/>
          <w:lang w:eastAsia="zh-CN"/>
        </w:rPr>
      </w:pPr>
    </w:p>
    <w:p w:rsidR="00922A02" w:rsidRDefault="005E2666">
      <w:pPr>
        <w:spacing w:line="480" w:lineRule="exact"/>
        <w:ind w:right="1280"/>
        <w:jc w:val="right"/>
        <w:rPr>
          <w:rFonts w:ascii="仿宋" w:eastAsia="PMingLiU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上海论坛组织委员会</w:t>
      </w:r>
      <w:r>
        <w:rPr>
          <w:rFonts w:ascii="仿宋" w:eastAsia="仿宋" w:hAnsi="仿宋" w:cs="仿宋" w:hint="eastAsia"/>
          <w:sz w:val="32"/>
          <w:szCs w:val="32"/>
          <w:lang w:val="zh-TW" w:eastAsia="zh-CN"/>
        </w:rPr>
        <w:t>秘书处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办公室</w:t>
      </w:r>
    </w:p>
    <w:p w:rsidR="00922A02" w:rsidRDefault="005E2666">
      <w:pPr>
        <w:spacing w:line="480" w:lineRule="exact"/>
        <w:ind w:right="1280"/>
        <w:jc w:val="right"/>
        <w:rPr>
          <w:rFonts w:ascii="仿宋" w:eastAsia="PMingLiU" w:hAnsi="仿宋" w:cs="仿宋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ascii="仿宋" w:eastAsiaTheme="minorEastAsia" w:hAnsi="仿宋" w:cs="仿宋" w:hint="eastAsia"/>
          <w:sz w:val="32"/>
          <w:szCs w:val="32"/>
          <w:lang w:val="zh-TW" w:eastAsia="zh-CN"/>
        </w:rPr>
        <w:t>20</w:t>
      </w:r>
      <w:r>
        <w:rPr>
          <w:rFonts w:ascii="仿宋" w:eastAsia="PMingLiU" w:hAnsi="仿宋" w:cs="仿宋"/>
          <w:sz w:val="32"/>
          <w:szCs w:val="32"/>
          <w:lang w:val="zh-TW" w:eastAsia="zh-TW"/>
        </w:rPr>
        <w:t>2</w:t>
      </w:r>
      <w:r>
        <w:rPr>
          <w:rFonts w:asciiTheme="minorEastAsia" w:eastAsiaTheme="minorEastAsia" w:hAnsiTheme="minorEastAsia" w:cs="仿宋" w:hint="eastAsia"/>
          <w:sz w:val="32"/>
          <w:szCs w:val="32"/>
          <w:lang w:val="zh-TW" w:eastAsia="zh-CN"/>
        </w:rPr>
        <w:t>3</w:t>
      </w:r>
      <w:r>
        <w:rPr>
          <w:rFonts w:ascii="仿宋" w:eastAsiaTheme="minorEastAsia" w:hAnsi="仿宋" w:cs="仿宋" w:hint="eastAsia"/>
          <w:sz w:val="32"/>
          <w:szCs w:val="32"/>
          <w:lang w:val="zh-TW" w:eastAsia="zh-CN"/>
        </w:rPr>
        <w:t>年</w:t>
      </w:r>
      <w:r w:rsidR="00D84BC4">
        <w:rPr>
          <w:rFonts w:ascii="仿宋" w:eastAsia="PMingLiU" w:hAnsi="仿宋" w:cs="仿宋"/>
          <w:sz w:val="32"/>
          <w:szCs w:val="32"/>
          <w:lang w:val="zh-TW" w:eastAsia="zh-TW"/>
        </w:rPr>
        <w:t>4</w:t>
      </w:r>
      <w:r>
        <w:rPr>
          <w:rFonts w:ascii="仿宋" w:eastAsiaTheme="minorEastAsia" w:hAnsi="仿宋" w:cs="仿宋" w:hint="eastAsia"/>
          <w:sz w:val="32"/>
          <w:szCs w:val="32"/>
          <w:lang w:val="zh-TW" w:eastAsia="zh-CN"/>
        </w:rPr>
        <w:t>月</w:t>
      </w:r>
    </w:p>
    <w:sectPr w:rsidR="00922A02">
      <w:pgSz w:w="16840" w:h="11900" w:orient="landscape"/>
      <w:pgMar w:top="1797" w:right="1440" w:bottom="1797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879"/>
    <w:multiLevelType w:val="multilevel"/>
    <w:tmpl w:val="04B308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1"/>
    <w:rsid w:val="0001683F"/>
    <w:rsid w:val="00027761"/>
    <w:rsid w:val="000557B1"/>
    <w:rsid w:val="000C5FCB"/>
    <w:rsid w:val="000D2F08"/>
    <w:rsid w:val="000F5151"/>
    <w:rsid w:val="00110E43"/>
    <w:rsid w:val="0011539F"/>
    <w:rsid w:val="00116E5D"/>
    <w:rsid w:val="0011759E"/>
    <w:rsid w:val="001315C4"/>
    <w:rsid w:val="0013301B"/>
    <w:rsid w:val="001467C5"/>
    <w:rsid w:val="00162678"/>
    <w:rsid w:val="001955F3"/>
    <w:rsid w:val="001B7C63"/>
    <w:rsid w:val="00253E68"/>
    <w:rsid w:val="002912C8"/>
    <w:rsid w:val="002D2E02"/>
    <w:rsid w:val="002E09FA"/>
    <w:rsid w:val="002F206B"/>
    <w:rsid w:val="002F7A91"/>
    <w:rsid w:val="00326B4F"/>
    <w:rsid w:val="0039416A"/>
    <w:rsid w:val="003B6010"/>
    <w:rsid w:val="003C72DC"/>
    <w:rsid w:val="00403F96"/>
    <w:rsid w:val="00412B79"/>
    <w:rsid w:val="00426A10"/>
    <w:rsid w:val="004320C9"/>
    <w:rsid w:val="00447270"/>
    <w:rsid w:val="004533AF"/>
    <w:rsid w:val="00471E98"/>
    <w:rsid w:val="00472497"/>
    <w:rsid w:val="004775F9"/>
    <w:rsid w:val="00486649"/>
    <w:rsid w:val="00497412"/>
    <w:rsid w:val="004A4A80"/>
    <w:rsid w:val="004A7CFC"/>
    <w:rsid w:val="004B2A0D"/>
    <w:rsid w:val="004B5A86"/>
    <w:rsid w:val="004C7A79"/>
    <w:rsid w:val="004D292B"/>
    <w:rsid w:val="00513FCC"/>
    <w:rsid w:val="005149BF"/>
    <w:rsid w:val="00515B51"/>
    <w:rsid w:val="00521CEB"/>
    <w:rsid w:val="00525438"/>
    <w:rsid w:val="005539E8"/>
    <w:rsid w:val="005747F2"/>
    <w:rsid w:val="005B1CF7"/>
    <w:rsid w:val="005E2666"/>
    <w:rsid w:val="005E2A62"/>
    <w:rsid w:val="005E3E67"/>
    <w:rsid w:val="005F4321"/>
    <w:rsid w:val="005F6E25"/>
    <w:rsid w:val="00611721"/>
    <w:rsid w:val="006578DA"/>
    <w:rsid w:val="0068415F"/>
    <w:rsid w:val="006C3E24"/>
    <w:rsid w:val="006F07CF"/>
    <w:rsid w:val="00716D53"/>
    <w:rsid w:val="00770C16"/>
    <w:rsid w:val="00793D06"/>
    <w:rsid w:val="007C1BC7"/>
    <w:rsid w:val="007D5334"/>
    <w:rsid w:val="007F1E5E"/>
    <w:rsid w:val="007F20CA"/>
    <w:rsid w:val="008120B0"/>
    <w:rsid w:val="00853E61"/>
    <w:rsid w:val="00857DCA"/>
    <w:rsid w:val="00881CD4"/>
    <w:rsid w:val="008A6FE7"/>
    <w:rsid w:val="008B0091"/>
    <w:rsid w:val="008F196D"/>
    <w:rsid w:val="00920081"/>
    <w:rsid w:val="00922A02"/>
    <w:rsid w:val="009378CA"/>
    <w:rsid w:val="009A0608"/>
    <w:rsid w:val="009C238B"/>
    <w:rsid w:val="009E6848"/>
    <w:rsid w:val="009F7EF9"/>
    <w:rsid w:val="00A0002A"/>
    <w:rsid w:val="00A118FE"/>
    <w:rsid w:val="00A84BB8"/>
    <w:rsid w:val="00AB3901"/>
    <w:rsid w:val="00AD4FCD"/>
    <w:rsid w:val="00B10A99"/>
    <w:rsid w:val="00B12A10"/>
    <w:rsid w:val="00B765DF"/>
    <w:rsid w:val="00B8006B"/>
    <w:rsid w:val="00B8246C"/>
    <w:rsid w:val="00B85726"/>
    <w:rsid w:val="00B904BB"/>
    <w:rsid w:val="00B92915"/>
    <w:rsid w:val="00B93AA2"/>
    <w:rsid w:val="00B97F51"/>
    <w:rsid w:val="00BA2377"/>
    <w:rsid w:val="00BA704D"/>
    <w:rsid w:val="00BB7B89"/>
    <w:rsid w:val="00C07F85"/>
    <w:rsid w:val="00C12335"/>
    <w:rsid w:val="00C17BA2"/>
    <w:rsid w:val="00C45C14"/>
    <w:rsid w:val="00C71A80"/>
    <w:rsid w:val="00C93AB0"/>
    <w:rsid w:val="00C97443"/>
    <w:rsid w:val="00CB5AB7"/>
    <w:rsid w:val="00CC13CB"/>
    <w:rsid w:val="00CC3BF3"/>
    <w:rsid w:val="00CD0F3E"/>
    <w:rsid w:val="00D15CC8"/>
    <w:rsid w:val="00D5429A"/>
    <w:rsid w:val="00D84BC4"/>
    <w:rsid w:val="00D90F2E"/>
    <w:rsid w:val="00DA3485"/>
    <w:rsid w:val="00DB5D14"/>
    <w:rsid w:val="00E15B80"/>
    <w:rsid w:val="00E43907"/>
    <w:rsid w:val="00E533B8"/>
    <w:rsid w:val="00E72F7F"/>
    <w:rsid w:val="00E83A18"/>
    <w:rsid w:val="00E94606"/>
    <w:rsid w:val="00ED2158"/>
    <w:rsid w:val="00F101B8"/>
    <w:rsid w:val="00F1586A"/>
    <w:rsid w:val="00F20BE0"/>
    <w:rsid w:val="00F60361"/>
    <w:rsid w:val="00F61DBD"/>
    <w:rsid w:val="00F72F38"/>
    <w:rsid w:val="00F912C3"/>
    <w:rsid w:val="00FB13F5"/>
    <w:rsid w:val="00FC674E"/>
    <w:rsid w:val="00FD2994"/>
    <w:rsid w:val="00FD4E1B"/>
    <w:rsid w:val="00FF70A1"/>
    <w:rsid w:val="43FF41AC"/>
    <w:rsid w:val="44A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4052"/>
  <w15:docId w15:val="{737D164F-77FC-44C4-87A2-FE95427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a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B9D9C-4F0E-4873-BAE3-ED592A07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144</Words>
  <Characters>916</Characters>
  <Application>Microsoft Office Word</Application>
  <DocSecurity>0</DocSecurity>
  <Lines>17</Lines>
  <Paragraphs>2</Paragraphs>
  <ScaleCrop>false</ScaleCrop>
  <Company>复旦大学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15</cp:revision>
  <dcterms:created xsi:type="dcterms:W3CDTF">2019-09-04T02:10:00Z</dcterms:created>
  <dcterms:modified xsi:type="dcterms:W3CDTF">2023-04-06T07:31:00Z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2D3C8B7F266246F48C59000B058F7999</vt:lpwstr>
  </property>
</Properties>
</file>